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25" w:rsidRDefault="00777325" w:rsidP="00777325">
      <w:pPr>
        <w:widowControl/>
        <w:spacing w:line="400" w:lineRule="exact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1E3FDC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國立屏東科技大學研究總中心所屬各中心及研究人員</w:t>
      </w:r>
    </w:p>
    <w:p w:rsidR="00777325" w:rsidRDefault="00777325" w:rsidP="00777325">
      <w:pPr>
        <w:widowControl/>
        <w:spacing w:line="400" w:lineRule="exact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bookmarkStart w:id="0" w:name="_GoBack"/>
      <w:r w:rsidRPr="001E3FDC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產學績效獎勵作業要點</w:t>
      </w:r>
      <w:bookmarkEnd w:id="0"/>
    </w:p>
    <w:p w:rsidR="00777325" w:rsidRDefault="00777325" w:rsidP="00777325">
      <w:pPr>
        <w:widowControl/>
        <w:spacing w:line="240" w:lineRule="exact"/>
        <w:ind w:leftChars="-413" w:left="-991" w:rightChars="-378" w:right="-907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777325" w:rsidRDefault="00777325" w:rsidP="00777325">
      <w:pPr>
        <w:widowControl/>
        <w:spacing w:line="240" w:lineRule="exact"/>
        <w:ind w:leftChars="-413" w:left="-991" w:rightChars="-378" w:right="-907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26</w:t>
      </w: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963A93">
        <w:rPr>
          <w:rFonts w:ascii="Times New Roman" w:eastAsia="標楷體" w:hAnsi="Times New Roman" w:cs="Times New Roman" w:hint="eastAsia"/>
          <w:sz w:val="20"/>
          <w:szCs w:val="20"/>
        </w:rPr>
        <w:t>次研究總中心指導委員會修正通過</w:t>
      </w:r>
    </w:p>
    <w:p w:rsidR="00777325" w:rsidRDefault="00777325" w:rsidP="00777325">
      <w:pPr>
        <w:widowControl/>
        <w:spacing w:line="240" w:lineRule="exact"/>
        <w:ind w:leftChars="-413" w:left="-991" w:rightChars="-378" w:right="-907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109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sz w:val="20"/>
          <w:szCs w:val="20"/>
        </w:rPr>
        <w:t>日第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245</w:t>
      </w:r>
      <w:r>
        <w:rPr>
          <w:rFonts w:ascii="Times New Roman" w:eastAsia="標楷體" w:hAnsi="Times New Roman" w:cs="Times New Roman" w:hint="eastAsia"/>
          <w:sz w:val="20"/>
          <w:szCs w:val="20"/>
        </w:rPr>
        <w:t>次行政會議核備</w:t>
      </w:r>
    </w:p>
    <w:p w:rsidR="00777325" w:rsidRPr="00963A93" w:rsidRDefault="00777325" w:rsidP="00777325">
      <w:pPr>
        <w:widowControl/>
        <w:spacing w:line="240" w:lineRule="exact"/>
        <w:ind w:leftChars="-413" w:left="-991" w:rightChars="-378" w:right="-907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10548" w:type="dxa"/>
        <w:jc w:val="center"/>
        <w:tblInd w:w="-2147" w:type="dxa"/>
        <w:tblLook w:val="01E0" w:firstRow="1" w:lastRow="1" w:firstColumn="1" w:lastColumn="1" w:noHBand="0" w:noVBand="0"/>
      </w:tblPr>
      <w:tblGrid>
        <w:gridCol w:w="10548"/>
      </w:tblGrid>
      <w:tr w:rsidR="00777325" w:rsidRPr="001E3FDC" w:rsidTr="00194FC0">
        <w:trPr>
          <w:trHeight w:val="1020"/>
          <w:jc w:val="center"/>
        </w:trPr>
        <w:tc>
          <w:tcPr>
            <w:tcW w:w="10548" w:type="dxa"/>
            <w:hideMark/>
          </w:tcPr>
          <w:p w:rsidR="00777325" w:rsidRPr="001E3FDC" w:rsidRDefault="00777325" w:rsidP="00777325">
            <w:pPr>
              <w:pStyle w:val="a3"/>
              <w:widowControl/>
              <w:numPr>
                <w:ilvl w:val="0"/>
                <w:numId w:val="1"/>
              </w:numPr>
              <w:spacing w:afterLines="30" w:after="108" w:line="400" w:lineRule="exact"/>
              <w:ind w:leftChars="0"/>
              <w:jc w:val="both"/>
              <w:rPr>
                <w:rFonts w:ascii="Times New Roman" w:eastAsia="標楷體" w:hAnsi="Times New Roman"/>
                <w:bCs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br w:type="page"/>
            </w:r>
            <w:r w:rsidRPr="001E3FDC">
              <w:rPr>
                <w:rFonts w:ascii="Times New Roman" w:eastAsia="標楷體" w:hAnsi="Times New Roman" w:hint="eastAsia"/>
                <w:kern w:val="0"/>
                <w:szCs w:val="24"/>
              </w:rPr>
              <w:t>研究總中心</w:t>
            </w:r>
            <w:r w:rsidRPr="001E3FDC">
              <w:rPr>
                <w:rFonts w:ascii="Times New Roman" w:eastAsia="標楷體" w:hAnsi="Times New Roman" w:hint="eastAsia"/>
                <w:spacing w:val="-9"/>
                <w:kern w:val="0"/>
                <w:szCs w:val="24"/>
              </w:rPr>
              <w:t>為鼓勵特殊優秀人才，強化總中心所屬各中心及研究人員學</w:t>
            </w:r>
            <w:proofErr w:type="gramStart"/>
            <w:r w:rsidRPr="001E3FDC">
              <w:rPr>
                <w:rFonts w:ascii="Times New Roman" w:eastAsia="標楷體" w:hAnsi="Times New Roman" w:hint="eastAsia"/>
                <w:spacing w:val="-9"/>
                <w:kern w:val="0"/>
                <w:szCs w:val="24"/>
              </w:rPr>
              <w:t>研</w:t>
            </w:r>
            <w:proofErr w:type="gramEnd"/>
            <w:r w:rsidRPr="001E3FDC">
              <w:rPr>
                <w:rFonts w:ascii="Times New Roman" w:eastAsia="標楷體" w:hAnsi="Times New Roman" w:hint="eastAsia"/>
                <w:spacing w:val="-9"/>
                <w:kern w:val="0"/>
                <w:szCs w:val="24"/>
              </w:rPr>
              <w:t>競爭力，依本校「國立屏東科技大學產學合作研究獎勵作業</w:t>
            </w:r>
            <w:r w:rsidRPr="001E3FDC">
              <w:rPr>
                <w:rFonts w:ascii="Times New Roman" w:eastAsia="標楷體" w:hAnsi="Times New Roman" w:hint="eastAsia"/>
                <w:spacing w:val="-1"/>
                <w:kern w:val="0"/>
                <w:szCs w:val="24"/>
              </w:rPr>
              <w:t>要點」</w:t>
            </w:r>
            <w:r w:rsidRPr="001E3FDC">
              <w:rPr>
                <w:rFonts w:ascii="Times New Roman" w:eastAsia="標楷體" w:hAnsi="Times New Roman" w:hint="eastAsia"/>
                <w:kern w:val="0"/>
                <w:szCs w:val="24"/>
              </w:rPr>
              <w:t>訂定「研究總中心所屬各中心及研究人員產學績效獎勵作業要點」</w:t>
            </w:r>
            <w:r w:rsidRPr="001E3FDC">
              <w:rPr>
                <w:rFonts w:ascii="Times New Roman" w:eastAsia="標楷體" w:hAnsi="Times New Roman"/>
                <w:kern w:val="0"/>
                <w:szCs w:val="24"/>
              </w:rPr>
              <w:t xml:space="preserve"> (</w:t>
            </w:r>
            <w:r w:rsidRPr="001E3FDC">
              <w:rPr>
                <w:rFonts w:ascii="Times New Roman" w:eastAsia="標楷體" w:hAnsi="Times New Roman" w:hint="eastAsia"/>
                <w:kern w:val="0"/>
                <w:szCs w:val="24"/>
              </w:rPr>
              <w:t>以下簡稱本要點</w:t>
            </w:r>
            <w:r w:rsidRPr="001E3FDC">
              <w:rPr>
                <w:rFonts w:ascii="Times New Roman" w:eastAsia="標楷體" w:hAnsi="Times New Roman"/>
                <w:kern w:val="0"/>
                <w:szCs w:val="24"/>
              </w:rPr>
              <w:t xml:space="preserve">) </w:t>
            </w:r>
            <w:r w:rsidRPr="001E3FDC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</w:tr>
      <w:tr w:rsidR="00777325" w:rsidRPr="001E3FDC" w:rsidTr="00194FC0">
        <w:trPr>
          <w:trHeight w:val="856"/>
          <w:jc w:val="center"/>
        </w:trPr>
        <w:tc>
          <w:tcPr>
            <w:tcW w:w="10548" w:type="dxa"/>
            <w:hideMark/>
          </w:tcPr>
          <w:p w:rsidR="00777325" w:rsidRPr="001E3FDC" w:rsidRDefault="00777325" w:rsidP="00777325">
            <w:pPr>
              <w:pStyle w:val="a3"/>
              <w:widowControl/>
              <w:numPr>
                <w:ilvl w:val="0"/>
                <w:numId w:val="1"/>
              </w:numPr>
              <w:spacing w:afterLines="30" w:after="108" w:line="400" w:lineRule="exact"/>
              <w:ind w:leftChars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本要點之經費來源主要為教育部高等教育深耕計畫、教育部編列經費及本校校務基金自籌收入。其每年總經費送校務基金管理委員會通過後實施。</w:t>
            </w:r>
          </w:p>
        </w:tc>
      </w:tr>
      <w:tr w:rsidR="00777325" w:rsidRPr="001E3FDC" w:rsidTr="00194FC0">
        <w:trPr>
          <w:trHeight w:val="1209"/>
          <w:jc w:val="center"/>
        </w:trPr>
        <w:tc>
          <w:tcPr>
            <w:tcW w:w="10548" w:type="dxa"/>
            <w:hideMark/>
          </w:tcPr>
          <w:p w:rsidR="00777325" w:rsidRPr="001E3FDC" w:rsidRDefault="00777325" w:rsidP="00777325">
            <w:pPr>
              <w:pStyle w:val="a3"/>
              <w:widowControl/>
              <w:numPr>
                <w:ilvl w:val="0"/>
                <w:numId w:val="1"/>
              </w:numPr>
              <w:spacing w:afterLines="30" w:after="108" w:line="400" w:lineRule="exact"/>
              <w:ind w:leftChars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為審議本要點獎勵對象，本中心組成獎勵審查委員會</w:t>
            </w:r>
            <w:r w:rsidRPr="001E3FDC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以下簡稱總中心獎審會</w:t>
            </w:r>
            <w:r w:rsidRPr="001E3FDC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，由總</w:t>
            </w:r>
            <w:proofErr w:type="gramStart"/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中心中心</w:t>
            </w:r>
            <w:proofErr w:type="gramEnd"/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主任擔任召集人</w:t>
            </w:r>
            <w:r w:rsidRPr="001E3FDC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，</w:t>
            </w:r>
            <w:r w:rsidRPr="001E3FDC">
              <w:rPr>
                <w:rFonts w:ascii="標楷體" w:eastAsia="標楷體" w:hAnsi="標楷體" w:hint="eastAsia"/>
                <w:bCs/>
                <w:kern w:val="0"/>
                <w:szCs w:val="24"/>
              </w:rPr>
              <w:t>聘請各</w:t>
            </w: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中心及研究人員代表</w:t>
            </w:r>
            <w:r w:rsidRPr="001E3FDC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至少</w:t>
            </w:r>
            <w:r w:rsidRPr="001E3FDC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3 </w:t>
            </w: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名</w:t>
            </w:r>
            <w:r w:rsidRPr="001E3FDC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組成，聘期自校長核定之日起至該年度結束為止。</w:t>
            </w:r>
          </w:p>
        </w:tc>
      </w:tr>
      <w:tr w:rsidR="00777325" w:rsidRPr="001E3FDC" w:rsidTr="00194FC0">
        <w:trPr>
          <w:trHeight w:val="1020"/>
          <w:jc w:val="center"/>
        </w:trPr>
        <w:tc>
          <w:tcPr>
            <w:tcW w:w="10548" w:type="dxa"/>
            <w:hideMark/>
          </w:tcPr>
          <w:p w:rsidR="00777325" w:rsidRPr="001E3FDC" w:rsidRDefault="00777325" w:rsidP="0077732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本要點獎勵對象資格、人數、金額及獎勵級距規定如下：</w:t>
            </w:r>
          </w:p>
          <w:p w:rsidR="00777325" w:rsidRPr="001E3FDC" w:rsidRDefault="00777325" w:rsidP="00777325">
            <w:pPr>
              <w:pStyle w:val="a3"/>
              <w:numPr>
                <w:ilvl w:val="0"/>
                <w:numId w:val="2"/>
              </w:numPr>
              <w:tabs>
                <w:tab w:val="left" w:pos="1418"/>
              </w:tabs>
              <w:autoSpaceDE w:val="0"/>
              <w:autoSpaceDN w:val="0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FDC">
              <w:rPr>
                <w:rFonts w:ascii="標楷體" w:eastAsia="標楷體" w:hAnsi="標楷體" w:cs="Times New Roman" w:hint="eastAsia"/>
                <w:kern w:val="0"/>
                <w:szCs w:val="24"/>
              </w:rPr>
              <w:t>獎勵對象資格：研究總中心所屬各中心教學研究人員，已填列於「教育部全國技專校院校務基本資料庫」者，於獎勵起始日前 3 年內曾執行產學研究計畫(不含科技部研究計畫)</w:t>
            </w:r>
            <w:r w:rsidRPr="001E3F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、</w:t>
            </w:r>
            <w:r w:rsidRPr="001E3FDC">
              <w:rPr>
                <w:rFonts w:ascii="標楷體" w:eastAsia="標楷體" w:hAnsi="標楷體" w:cs="Times New Roman" w:hint="eastAsia"/>
                <w:kern w:val="0"/>
                <w:szCs w:val="24"/>
              </w:rPr>
              <w:t>技轉產業界，得依本要點申請獎勵。</w:t>
            </w:r>
          </w:p>
          <w:p w:rsidR="00777325" w:rsidRPr="001E3FDC" w:rsidRDefault="00777325" w:rsidP="00194FC0">
            <w:pPr>
              <w:tabs>
                <w:tab w:val="left" w:pos="1418"/>
              </w:tabs>
              <w:autoSpaceDE w:val="0"/>
              <w:autoSpaceDN w:val="0"/>
              <w:spacing w:line="400" w:lineRule="exact"/>
              <w:ind w:firstLineChars="400" w:firstLine="96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FDC">
              <w:rPr>
                <w:rFonts w:ascii="標楷體" w:eastAsia="標楷體" w:hAnsi="標楷體" w:cs="Times New Roman" w:hint="eastAsia"/>
                <w:kern w:val="0"/>
                <w:szCs w:val="24"/>
              </w:rPr>
              <w:t>本要點包含新聘任優秀校務基金進用研究人員。</w:t>
            </w:r>
          </w:p>
          <w:p w:rsidR="00777325" w:rsidRPr="001E3FDC" w:rsidRDefault="00777325" w:rsidP="00777325">
            <w:pPr>
              <w:pStyle w:val="a3"/>
              <w:numPr>
                <w:ilvl w:val="0"/>
                <w:numId w:val="2"/>
              </w:numPr>
              <w:tabs>
                <w:tab w:val="left" w:pos="862"/>
              </w:tabs>
              <w:autoSpaceDE w:val="0"/>
              <w:autoSpaceDN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cs="Times New Roman" w:hint="eastAsia"/>
                <w:spacing w:val="-4"/>
                <w:kern w:val="0"/>
                <w:szCs w:val="24"/>
              </w:rPr>
              <w:t>依據研發處提供總中心教學研究人員前</w:t>
            </w:r>
            <w:r w:rsidRPr="001E3FDC">
              <w:rPr>
                <w:rFonts w:ascii="Times New Roman" w:eastAsia="標楷體" w:hAnsi="Times New Roman" w:cs="Times New Roman"/>
                <w:spacing w:val="-4"/>
                <w:kern w:val="0"/>
                <w:szCs w:val="24"/>
              </w:rPr>
              <w:t>1</w:t>
            </w:r>
            <w:r w:rsidRPr="001E3FDC">
              <w:rPr>
                <w:rFonts w:ascii="Times New Roman" w:eastAsia="標楷體" w:hAnsi="Times New Roman" w:cs="Times New Roman" w:hint="eastAsia"/>
                <w:spacing w:val="-4"/>
                <w:kern w:val="0"/>
                <w:szCs w:val="24"/>
              </w:rPr>
              <w:t>年度相關績效核算可獎勵人數。</w:t>
            </w:r>
            <w:proofErr w:type="gramStart"/>
            <w:r w:rsidRPr="001E3FDC">
              <w:rPr>
                <w:rFonts w:ascii="Times New Roman" w:eastAsia="標楷體" w:hAnsi="Times New Roman" w:cs="Times New Roman" w:hint="eastAsia"/>
                <w:spacing w:val="-4"/>
                <w:kern w:val="0"/>
                <w:szCs w:val="24"/>
              </w:rPr>
              <w:t>惟</w:t>
            </w:r>
            <w:proofErr w:type="gramEnd"/>
            <w:r w:rsidRPr="001E3FDC">
              <w:rPr>
                <w:rFonts w:ascii="Times New Roman" w:eastAsia="標楷體" w:hAnsi="Times New Roman" w:cs="Times New Roman" w:hint="eastAsia"/>
                <w:spacing w:val="-4"/>
                <w:kern w:val="0"/>
                <w:szCs w:val="24"/>
              </w:rPr>
              <w:t>各項補助總人數需內含百分之三十之副教授或</w:t>
            </w:r>
            <w:proofErr w:type="gramStart"/>
            <w:r w:rsidRPr="001E3FDC">
              <w:rPr>
                <w:rFonts w:ascii="Times New Roman" w:eastAsia="標楷體" w:hAnsi="Times New Roman" w:cs="Times New Roman" w:hint="eastAsia"/>
                <w:spacing w:val="-4"/>
                <w:kern w:val="0"/>
                <w:szCs w:val="24"/>
              </w:rPr>
              <w:t>相當</w:t>
            </w:r>
            <w:proofErr w:type="gramEnd"/>
            <w:r w:rsidRPr="001E3FDC">
              <w:rPr>
                <w:rFonts w:ascii="Times New Roman" w:eastAsia="標楷體" w:hAnsi="Times New Roman" w:cs="Times New Roman" w:hint="eastAsia"/>
                <w:spacing w:val="-4"/>
                <w:kern w:val="0"/>
                <w:szCs w:val="24"/>
              </w:rPr>
              <w:t>職級以下人數，如依名次補助其副教授人數不足者，則依排名往後遞補</w:t>
            </w:r>
            <w:r w:rsidRPr="001E3FDC"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  <w:t>。</w:t>
            </w:r>
            <w:r w:rsidRPr="001E3FD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777325" w:rsidRPr="001E3FDC" w:rsidRDefault="00777325" w:rsidP="00777325">
            <w:pPr>
              <w:pStyle w:val="a3"/>
              <w:numPr>
                <w:ilvl w:val="0"/>
                <w:numId w:val="2"/>
              </w:numPr>
              <w:tabs>
                <w:tab w:val="left" w:pos="862"/>
              </w:tabs>
              <w:autoSpaceDE w:val="0"/>
              <w:autoSpaceDN w:val="0"/>
              <w:spacing w:line="40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獎勵金額：以本校前一年度獲補助之研究計畫之行政管理費</w:t>
            </w:r>
            <w:r w:rsidRPr="001E3FD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1E3FD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不含科技部研究計畫</w:t>
            </w:r>
            <w:r w:rsidRPr="001E3FD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1E3FD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，換算點數比例方式並以本要點二之經費來源為總額上限。</w:t>
            </w:r>
          </w:p>
          <w:p w:rsidR="00777325" w:rsidRPr="001E3FDC" w:rsidRDefault="00777325" w:rsidP="00777325">
            <w:pPr>
              <w:pStyle w:val="a3"/>
              <w:numPr>
                <w:ilvl w:val="0"/>
                <w:numId w:val="2"/>
              </w:numPr>
              <w:tabs>
                <w:tab w:val="left" w:pos="862"/>
              </w:tabs>
              <w:autoSpaceDE w:val="0"/>
              <w:autoSpaceDN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獎勵級距之</w:t>
            </w:r>
            <w:proofErr w:type="gramStart"/>
            <w:r w:rsidRPr="001E3FD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級數由獎審</w:t>
            </w:r>
            <w:proofErr w:type="gramEnd"/>
            <w:r w:rsidRPr="001E3FD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會依每年度各中心提報之獎勵人數開會議定之，依各獎勵項目獎勵點數表為核算級距，核算金額為整年度獎勵額度並以每月請領形式辦理，惟各級獎勵金額差距及每月獎勵金額至少應為新臺幣</w:t>
            </w:r>
            <w:r w:rsidRPr="001E3FD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5,000 </w:t>
            </w:r>
            <w:r w:rsidRPr="001E3FD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元以上。</w:t>
            </w:r>
          </w:p>
          <w:p w:rsidR="00777325" w:rsidRPr="001E3FDC" w:rsidRDefault="00777325" w:rsidP="00777325">
            <w:pPr>
              <w:pStyle w:val="a3"/>
              <w:numPr>
                <w:ilvl w:val="0"/>
                <w:numId w:val="2"/>
              </w:numPr>
              <w:tabs>
                <w:tab w:val="left" w:pos="862"/>
              </w:tabs>
              <w:autoSpaceDE w:val="0"/>
              <w:autoSpaceDN w:val="0"/>
              <w:spacing w:afterLines="30" w:after="108" w:line="40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cs="Times New Roman" w:hint="eastAsia"/>
                <w:spacing w:val="-5"/>
                <w:kern w:val="0"/>
                <w:szCs w:val="24"/>
              </w:rPr>
              <w:t>獲獎勵人員若依相關規定進行借調，不得於同一期間重複領取原任職機構及借調單位之研究獎勵金。</w:t>
            </w:r>
          </w:p>
        </w:tc>
      </w:tr>
      <w:tr w:rsidR="00777325" w:rsidRPr="001E3FDC" w:rsidTr="00194FC0">
        <w:trPr>
          <w:trHeight w:val="631"/>
          <w:jc w:val="center"/>
        </w:trPr>
        <w:tc>
          <w:tcPr>
            <w:tcW w:w="10548" w:type="dxa"/>
            <w:hideMark/>
          </w:tcPr>
          <w:p w:rsidR="00777325" w:rsidRPr="001E3FDC" w:rsidRDefault="00777325" w:rsidP="00777325">
            <w:pPr>
              <w:pStyle w:val="a3"/>
              <w:widowControl/>
              <w:numPr>
                <w:ilvl w:val="0"/>
                <w:numId w:val="1"/>
              </w:numPr>
              <w:spacing w:afterLines="50" w:after="180" w:line="400" w:lineRule="exact"/>
              <w:ind w:leftChars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獎勵評比依據：</w:t>
            </w:r>
          </w:p>
          <w:p w:rsidR="00777325" w:rsidRPr="001E3FDC" w:rsidRDefault="00777325" w:rsidP="00777325">
            <w:pPr>
              <w:widowControl/>
              <w:spacing w:afterLines="50" w:after="180" w:line="400" w:lineRule="exact"/>
              <w:ind w:leftChars="182" w:left="437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各項績效計算時間依學校規定，並以研發處提供績效指標資料為參考原則。各中心或教學研究人員可獲獎勵金額上限，由本校研究發展處依前一年度執行之產學績效進行統計後，依比例分配獎勵金額。</w:t>
            </w:r>
          </w:p>
        </w:tc>
      </w:tr>
      <w:tr w:rsidR="00777325" w:rsidRPr="001E3FDC" w:rsidTr="00194FC0">
        <w:trPr>
          <w:trHeight w:val="442"/>
          <w:jc w:val="center"/>
        </w:trPr>
        <w:tc>
          <w:tcPr>
            <w:tcW w:w="10548" w:type="dxa"/>
            <w:hideMark/>
          </w:tcPr>
          <w:p w:rsidR="00777325" w:rsidRPr="001E3FDC" w:rsidRDefault="00777325" w:rsidP="00777325">
            <w:pPr>
              <w:pStyle w:val="a3"/>
              <w:widowControl/>
              <w:numPr>
                <w:ilvl w:val="0"/>
                <w:numId w:val="1"/>
              </w:numPr>
              <w:spacing w:afterLines="50" w:after="180" w:line="400" w:lineRule="exact"/>
              <w:ind w:leftChars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hint="eastAsia"/>
                <w:kern w:val="0"/>
                <w:szCs w:val="24"/>
              </w:rPr>
              <w:t>本要點獎勵支給期間自獲獎勵當年度</w:t>
            </w:r>
            <w:r w:rsidRPr="001E3FDC">
              <w:rPr>
                <w:rFonts w:ascii="Times New Roman" w:eastAsia="標楷體" w:hAnsi="Times New Roman"/>
                <w:kern w:val="0"/>
                <w:szCs w:val="24"/>
              </w:rPr>
              <w:t xml:space="preserve"> 1 </w:t>
            </w:r>
            <w:r w:rsidRPr="001E3FDC">
              <w:rPr>
                <w:rFonts w:ascii="Times New Roman" w:eastAsia="標楷體" w:hAnsi="Times New Roman" w:hint="eastAsia"/>
                <w:kern w:val="0"/>
                <w:szCs w:val="24"/>
              </w:rPr>
              <w:t>月</w:t>
            </w:r>
            <w:r w:rsidRPr="001E3FDC">
              <w:rPr>
                <w:rFonts w:ascii="Times New Roman" w:eastAsia="標楷體" w:hAnsi="Times New Roman"/>
                <w:kern w:val="0"/>
                <w:szCs w:val="24"/>
              </w:rPr>
              <w:t xml:space="preserve"> 1 </w:t>
            </w:r>
            <w:r w:rsidRPr="001E3FDC">
              <w:rPr>
                <w:rFonts w:ascii="Times New Roman" w:eastAsia="標楷體" w:hAnsi="Times New Roman" w:hint="eastAsia"/>
                <w:kern w:val="0"/>
                <w:szCs w:val="24"/>
              </w:rPr>
              <w:t>日起至</w:t>
            </w:r>
            <w:r w:rsidRPr="001E3FDC">
              <w:rPr>
                <w:rFonts w:ascii="Times New Roman" w:eastAsia="標楷體" w:hAnsi="Times New Roman"/>
                <w:kern w:val="0"/>
                <w:szCs w:val="24"/>
              </w:rPr>
              <w:t xml:space="preserve"> 12 </w:t>
            </w:r>
            <w:r w:rsidRPr="001E3FDC">
              <w:rPr>
                <w:rFonts w:ascii="Times New Roman" w:eastAsia="標楷體" w:hAnsi="Times New Roman" w:hint="eastAsia"/>
                <w:kern w:val="0"/>
                <w:szCs w:val="24"/>
              </w:rPr>
              <w:t>月</w:t>
            </w:r>
            <w:r w:rsidRPr="001E3FDC">
              <w:rPr>
                <w:rFonts w:ascii="Times New Roman" w:eastAsia="標楷體" w:hAnsi="Times New Roman"/>
                <w:kern w:val="0"/>
                <w:szCs w:val="24"/>
              </w:rPr>
              <w:t xml:space="preserve"> 31 </w:t>
            </w:r>
            <w:r w:rsidRPr="001E3FDC">
              <w:rPr>
                <w:rFonts w:ascii="Times New Roman" w:eastAsia="標楷體" w:hAnsi="Times New Roman" w:hint="eastAsia"/>
                <w:kern w:val="0"/>
                <w:szCs w:val="24"/>
              </w:rPr>
              <w:t>日止。</w:t>
            </w:r>
          </w:p>
        </w:tc>
      </w:tr>
    </w:tbl>
    <w:p w:rsidR="00777325" w:rsidRDefault="00777325" w:rsidP="00777325"/>
    <w:tbl>
      <w:tblPr>
        <w:tblW w:w="10548" w:type="dxa"/>
        <w:jc w:val="center"/>
        <w:tblInd w:w="-2147" w:type="dxa"/>
        <w:tblLook w:val="01E0" w:firstRow="1" w:lastRow="1" w:firstColumn="1" w:lastColumn="1" w:noHBand="0" w:noVBand="0"/>
      </w:tblPr>
      <w:tblGrid>
        <w:gridCol w:w="10548"/>
      </w:tblGrid>
      <w:tr w:rsidR="00777325" w:rsidRPr="001E3FDC" w:rsidTr="00194FC0">
        <w:trPr>
          <w:trHeight w:val="274"/>
          <w:jc w:val="center"/>
        </w:trPr>
        <w:tc>
          <w:tcPr>
            <w:tcW w:w="10548" w:type="dxa"/>
            <w:hideMark/>
          </w:tcPr>
          <w:p w:rsidR="00777325" w:rsidRPr="001E3FDC" w:rsidRDefault="00777325" w:rsidP="00777325">
            <w:pPr>
              <w:pStyle w:val="a3"/>
              <w:numPr>
                <w:ilvl w:val="0"/>
                <w:numId w:val="1"/>
              </w:numPr>
              <w:spacing w:afterLines="30" w:after="108" w:line="400" w:lineRule="exact"/>
              <w:ind w:leftChars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研究總中心受獎勵之教學研究人員應有相對應之績效表現：獲獎勵之教師產學績效值，應維持在研究總中心所屬各中心之前</w:t>
            </w:r>
            <w:r w:rsidRPr="001E3FDC">
              <w:rPr>
                <w:rFonts w:ascii="Times New Roman" w:eastAsia="標楷體" w:hAnsi="Times New Roman"/>
                <w:bCs/>
                <w:kern w:val="0"/>
                <w:szCs w:val="24"/>
              </w:rPr>
              <w:t>25%</w:t>
            </w: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，前述所指績效指標由研究總中心訂定。</w:t>
            </w:r>
          </w:p>
        </w:tc>
      </w:tr>
      <w:tr w:rsidR="00777325" w:rsidRPr="001E3FDC" w:rsidTr="00194FC0">
        <w:trPr>
          <w:trHeight w:val="1020"/>
          <w:jc w:val="center"/>
        </w:trPr>
        <w:tc>
          <w:tcPr>
            <w:tcW w:w="10548" w:type="dxa"/>
            <w:hideMark/>
          </w:tcPr>
          <w:p w:rsidR="00777325" w:rsidRPr="001E3FDC" w:rsidRDefault="00777325" w:rsidP="00777325">
            <w:pPr>
              <w:pStyle w:val="a3"/>
              <w:numPr>
                <w:ilvl w:val="0"/>
                <w:numId w:val="1"/>
              </w:numPr>
              <w:spacing w:afterLines="30" w:after="108" w:line="400" w:lineRule="exact"/>
              <w:ind w:leftChars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為配合教育部當年度獎勵申請時程，獲獎勵人員應於獎審會訂定之期限前，提出年度績效報告一份，並送交本校研究發展處彙整，</w:t>
            </w:r>
            <w:proofErr w:type="gramStart"/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提送獎審</w:t>
            </w:r>
            <w:proofErr w:type="gramEnd"/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會進行審查。</w:t>
            </w:r>
          </w:p>
          <w:p w:rsidR="00777325" w:rsidRPr="001E3FDC" w:rsidRDefault="00777325" w:rsidP="00777325">
            <w:pPr>
              <w:spacing w:afterLines="30" w:after="108" w:line="400" w:lineRule="exact"/>
              <w:ind w:leftChars="182" w:left="437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proofErr w:type="gramStart"/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經獎審</w:t>
            </w:r>
            <w:proofErr w:type="gramEnd"/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會審查未達績效者：於次年度起</w:t>
            </w:r>
            <w:r w:rsidRPr="001E3FDC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1 </w:t>
            </w: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年內不得再申請本獎勵案。</w:t>
            </w:r>
          </w:p>
          <w:p w:rsidR="00777325" w:rsidRPr="001E3FDC" w:rsidRDefault="00777325" w:rsidP="00777325">
            <w:pPr>
              <w:spacing w:afterLines="30" w:after="108" w:line="400" w:lineRule="exact"/>
              <w:ind w:leftChars="182" w:left="437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未提績效報告者：除扣除</w:t>
            </w:r>
            <w:r w:rsidRPr="001E3FDC">
              <w:rPr>
                <w:rFonts w:ascii="Times New Roman" w:eastAsia="標楷體" w:hAnsi="Times New Roman"/>
                <w:bCs/>
                <w:kern w:val="0"/>
                <w:szCs w:val="24"/>
              </w:rPr>
              <w:t>3</w:t>
            </w: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個月獎勵金給與外，於次年度起</w:t>
            </w:r>
            <w:r w:rsidRPr="001E3FDC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3 </w:t>
            </w: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年內不得再申請本獎勵案。</w:t>
            </w:r>
            <w:r w:rsidRPr="001E3FDC">
              <w:rPr>
                <w:rFonts w:ascii="Times New Roman" w:eastAsia="標楷體" w:hAnsi="Times New Roman"/>
                <w:bCs/>
                <w:kern w:val="0"/>
                <w:szCs w:val="24"/>
              </w:rPr>
              <w:tab/>
            </w:r>
          </w:p>
        </w:tc>
      </w:tr>
      <w:tr w:rsidR="00777325" w:rsidRPr="001E3FDC" w:rsidTr="00194FC0">
        <w:trPr>
          <w:trHeight w:val="946"/>
          <w:jc w:val="center"/>
        </w:trPr>
        <w:tc>
          <w:tcPr>
            <w:tcW w:w="10548" w:type="dxa"/>
            <w:hideMark/>
          </w:tcPr>
          <w:p w:rsidR="00777325" w:rsidRPr="001E3FDC" w:rsidRDefault="00777325" w:rsidP="00777325">
            <w:pPr>
              <w:pStyle w:val="a3"/>
              <w:widowControl/>
              <w:numPr>
                <w:ilvl w:val="0"/>
                <w:numId w:val="1"/>
              </w:numPr>
              <w:spacing w:afterLines="50" w:after="180" w:line="400" w:lineRule="exact"/>
              <w:ind w:leftChars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受獎勵人員於獎勵期間內，若有資格不符或違反本校學術倫理等規範且情節重大者，該項獎勵</w:t>
            </w:r>
            <w:proofErr w:type="gramStart"/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即按停權</w:t>
            </w:r>
            <w:proofErr w:type="gramEnd"/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等違規事由期間之比例繳回，情節嚴重者追回獎勵款項經費。</w:t>
            </w:r>
          </w:p>
        </w:tc>
      </w:tr>
      <w:tr w:rsidR="00777325" w:rsidRPr="001E3FDC" w:rsidTr="00194FC0">
        <w:trPr>
          <w:trHeight w:val="469"/>
          <w:jc w:val="center"/>
        </w:trPr>
        <w:tc>
          <w:tcPr>
            <w:tcW w:w="10548" w:type="dxa"/>
            <w:hideMark/>
          </w:tcPr>
          <w:p w:rsidR="00777325" w:rsidRPr="001E3FDC" w:rsidRDefault="00777325" w:rsidP="00777325">
            <w:pPr>
              <w:pStyle w:val="a3"/>
              <w:widowControl/>
              <w:numPr>
                <w:ilvl w:val="0"/>
                <w:numId w:val="1"/>
              </w:numPr>
              <w:spacing w:afterLines="50" w:after="180" w:line="400" w:lineRule="exact"/>
              <w:ind w:leftChars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E3FD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本要點經研究總中心指導委員會通過後施行，修正時亦同。</w:t>
            </w:r>
          </w:p>
        </w:tc>
      </w:tr>
    </w:tbl>
    <w:p w:rsidR="005B6B04" w:rsidRPr="00777325" w:rsidRDefault="005B6B04"/>
    <w:sectPr w:rsidR="005B6B04" w:rsidRPr="00777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57" w:rsidRDefault="00BE4257" w:rsidP="00AB6427">
      <w:r>
        <w:separator/>
      </w:r>
    </w:p>
  </w:endnote>
  <w:endnote w:type="continuationSeparator" w:id="0">
    <w:p w:rsidR="00BE4257" w:rsidRDefault="00BE4257" w:rsidP="00AB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57" w:rsidRDefault="00BE4257" w:rsidP="00AB6427">
      <w:r>
        <w:separator/>
      </w:r>
    </w:p>
  </w:footnote>
  <w:footnote w:type="continuationSeparator" w:id="0">
    <w:p w:rsidR="00BE4257" w:rsidRDefault="00BE4257" w:rsidP="00AB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9F0"/>
    <w:multiLevelType w:val="hybridMultilevel"/>
    <w:tmpl w:val="50623C2C"/>
    <w:lvl w:ilvl="0" w:tplc="5EBCCC1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FF297C"/>
    <w:multiLevelType w:val="hybridMultilevel"/>
    <w:tmpl w:val="23FCD7B0"/>
    <w:lvl w:ilvl="0" w:tplc="1EBA4F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25"/>
    <w:rsid w:val="005B6B04"/>
    <w:rsid w:val="00777325"/>
    <w:rsid w:val="00AB6427"/>
    <w:rsid w:val="00B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325"/>
    <w:pPr>
      <w:ind w:leftChars="200" w:left="480"/>
    </w:pPr>
  </w:style>
  <w:style w:type="character" w:customStyle="1" w:styleId="a4">
    <w:name w:val="清單段落 字元"/>
    <w:link w:val="a3"/>
    <w:uiPriority w:val="34"/>
    <w:rsid w:val="00777325"/>
  </w:style>
  <w:style w:type="paragraph" w:styleId="a5">
    <w:name w:val="header"/>
    <w:basedOn w:val="a"/>
    <w:link w:val="a6"/>
    <w:uiPriority w:val="99"/>
    <w:unhideWhenUsed/>
    <w:rsid w:val="00AB6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4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4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325"/>
    <w:pPr>
      <w:ind w:leftChars="200" w:left="480"/>
    </w:pPr>
  </w:style>
  <w:style w:type="character" w:customStyle="1" w:styleId="a4">
    <w:name w:val="清單段落 字元"/>
    <w:link w:val="a3"/>
    <w:uiPriority w:val="34"/>
    <w:rsid w:val="00777325"/>
  </w:style>
  <w:style w:type="paragraph" w:styleId="a5">
    <w:name w:val="header"/>
    <w:basedOn w:val="a"/>
    <w:link w:val="a6"/>
    <w:uiPriority w:val="99"/>
    <w:unhideWhenUsed/>
    <w:rsid w:val="00AB6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4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4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2020-04-16T00:45:00Z</dcterms:created>
  <dcterms:modified xsi:type="dcterms:W3CDTF">2020-04-16T00:47:00Z</dcterms:modified>
</cp:coreProperties>
</file>